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6" w:rsidRDefault="00C61976" w:rsidP="00C61976">
      <w:pPr>
        <w:pStyle w:val="NormalWeb"/>
      </w:pPr>
      <w:r>
        <w:rPr>
          <w:rStyle w:val="Strong"/>
        </w:rPr>
        <w:t>General Comments</w:t>
      </w:r>
    </w:p>
    <w:p w:rsidR="00C61976" w:rsidRDefault="00C61976" w:rsidP="00C61976">
      <w:pPr>
        <w:pStyle w:val="NormalWeb"/>
      </w:pPr>
      <w:r>
        <w:t>The manuscript evaluates the WRF-</w:t>
      </w:r>
      <w:proofErr w:type="spellStart"/>
      <w:r>
        <w:t>Chem</w:t>
      </w:r>
      <w:proofErr w:type="spellEnd"/>
      <w:r>
        <w:t xml:space="preserve"> model's ability to simulate chemical species over </w:t>
      </w:r>
      <w:proofErr w:type="spellStart"/>
      <w:r>
        <w:t>Réunion</w:t>
      </w:r>
      <w:proofErr w:type="spellEnd"/>
      <w:r>
        <w:t xml:space="preserve"> Island, focusing on key species such as formaldehyde, methanol, isoprene, </w:t>
      </w:r>
      <w:proofErr w:type="spellStart"/>
      <w:r>
        <w:t>Iox</w:t>
      </w:r>
      <w:proofErr w:type="spellEnd"/>
      <w:r>
        <w:t xml:space="preserve"> (isoprene oxidation products), monoterpenes, acetone, NO₂, NOₓ, OH, and O₃. While the study offers valuable insights into VOC and NOₓ simulations in a tropical setting, significant improvements </w:t>
      </w:r>
      <w:proofErr w:type="gramStart"/>
      <w:r>
        <w:t>are needed</w:t>
      </w:r>
      <w:proofErr w:type="gramEnd"/>
      <w:r>
        <w:t>, particularly in defining clear scientific objectives and providing a robust statistical evaluation of model performance for both meteorological and chemical species. Substantial revisions are required.</w:t>
      </w:r>
    </w:p>
    <w:p w:rsidR="00C61976" w:rsidRDefault="00C61976" w:rsidP="00C61976">
      <w:pPr>
        <w:pStyle w:val="NormalWeb"/>
      </w:pPr>
      <w:r>
        <w:rPr>
          <w:rStyle w:val="Strong"/>
        </w:rPr>
        <w:t>Major Comments:</w:t>
      </w:r>
    </w:p>
    <w:p w:rsidR="00C61976" w:rsidRDefault="00C61976" w:rsidP="00C61976">
      <w:pPr>
        <w:pStyle w:val="NormalWeb"/>
        <w:numPr>
          <w:ilvl w:val="0"/>
          <w:numId w:val="1"/>
        </w:numPr>
      </w:pPr>
      <w:r>
        <w:t xml:space="preserve">The manuscript provides excessive detail on data collection methods, particularly PTR-MS measurements. Since the primary focus is on model evaluation, these descriptions </w:t>
      </w:r>
      <w:proofErr w:type="gramStart"/>
      <w:r>
        <w:t>should be condensed</w:t>
      </w:r>
      <w:proofErr w:type="gramEnd"/>
      <w:r>
        <w:t xml:space="preserve">, retaining only essential information relevant to </w:t>
      </w:r>
      <w:r w:rsidR="0038055B">
        <w:t xml:space="preserve">data analysis and model </w:t>
      </w:r>
      <w:r>
        <w:t>validation.</w:t>
      </w:r>
    </w:p>
    <w:p w:rsidR="0038055B" w:rsidRDefault="0038055B" w:rsidP="0038055B">
      <w:pPr>
        <w:pStyle w:val="NormalWeb"/>
        <w:numPr>
          <w:ilvl w:val="0"/>
          <w:numId w:val="1"/>
        </w:numPr>
      </w:pPr>
      <w:r>
        <w:t xml:space="preserve">The study introduces updates to chemical mechanisms (Sections 2.2.3.1, 2.2.3.2, Table 2, and sensitivity run S4). If these updates represent novel developments, they </w:t>
      </w:r>
      <w:proofErr w:type="gramStart"/>
      <w:r>
        <w:t>should be explicitly highlighted</w:t>
      </w:r>
      <w:proofErr w:type="gramEnd"/>
      <w:r>
        <w:t xml:space="preserve"> in the abstract and conclusion. Otherwise, proper citations should be included.</w:t>
      </w:r>
    </w:p>
    <w:p w:rsidR="0038055B" w:rsidRDefault="0038055B" w:rsidP="0038055B">
      <w:pPr>
        <w:pStyle w:val="NormalWeb"/>
        <w:numPr>
          <w:ilvl w:val="0"/>
          <w:numId w:val="1"/>
        </w:numPr>
      </w:pPr>
      <w:r>
        <w:t>Despite significant differences in simulated precursor concentrations (Fig. 18), O₃ predictions remain relatively stable. The authors should provide a thorough explanation of this discrepancy.</w:t>
      </w:r>
    </w:p>
    <w:p w:rsidR="00C61976" w:rsidRDefault="00C61976" w:rsidP="00C61976">
      <w:pPr>
        <w:pStyle w:val="NormalWeb"/>
        <w:numPr>
          <w:ilvl w:val="0"/>
          <w:numId w:val="1"/>
        </w:numPr>
      </w:pPr>
      <w:r>
        <w:t>The use of sequential 2-day simulations (Lines 158–160) is unsuitable for evaluating monthly trends. It is recommended to conduct daily 48-hour simulations, starting at a consistent time (e.g., 00Z or 12Z UTC), and assess either Day 1 or Day 2 results to account for numerical model performance variations over different forecast hours.</w:t>
      </w:r>
    </w:p>
    <w:p w:rsidR="00C61976" w:rsidRDefault="00C61976" w:rsidP="00C61976">
      <w:pPr>
        <w:pStyle w:val="NormalWeb"/>
        <w:numPr>
          <w:ilvl w:val="0"/>
          <w:numId w:val="1"/>
        </w:numPr>
      </w:pPr>
      <w:r>
        <w:t xml:space="preserve">The description of biogenic emissions in Section 2.3.2 </w:t>
      </w:r>
      <w:proofErr w:type="gramStart"/>
      <w:r>
        <w:t>should be streamlined</w:t>
      </w:r>
      <w:proofErr w:type="gramEnd"/>
      <w:r>
        <w:t xml:space="preserve"> unless significant modifications were made to MEGAN 2.0.4.</w:t>
      </w:r>
    </w:p>
    <w:p w:rsidR="00C61976" w:rsidRDefault="00C61976" w:rsidP="00C61976">
      <w:pPr>
        <w:pStyle w:val="NormalWeb"/>
        <w:numPr>
          <w:ilvl w:val="0"/>
          <w:numId w:val="1"/>
        </w:numPr>
      </w:pPr>
      <w:r>
        <w:t xml:space="preserve">Sensitivity run S1: The over-prediction of NO₂ and NOₓ at the LP station (Lines 598–600) </w:t>
      </w:r>
      <w:proofErr w:type="gramStart"/>
      <w:r>
        <w:t>is attributed</w:t>
      </w:r>
      <w:proofErr w:type="gramEnd"/>
      <w:r>
        <w:t xml:space="preserve"> to surface-level emission injection. Instead of reducing NOₓ emissions by a factor of five, a more appropriate approach would be to inject emissions at the plume rise height.</w:t>
      </w:r>
    </w:p>
    <w:p w:rsidR="00C61976" w:rsidRDefault="00C61976" w:rsidP="00C61976">
      <w:pPr>
        <w:pStyle w:val="NormalWeb"/>
        <w:numPr>
          <w:ilvl w:val="0"/>
          <w:numId w:val="1"/>
        </w:numPr>
      </w:pPr>
      <w:r>
        <w:t>Figure 8: Evaluating meteorological simulations based on a single-site comparison is insufficient. Are additional meteorological observation sites available? Including statistical metrics (e.g., correlation coefficient, RMSE, mean bias) would strengthen the evaluation.</w:t>
      </w:r>
    </w:p>
    <w:p w:rsidR="00C61976" w:rsidRDefault="00C61976" w:rsidP="00C61976">
      <w:pPr>
        <w:pStyle w:val="NormalWeb"/>
        <w:numPr>
          <w:ilvl w:val="0"/>
          <w:numId w:val="1"/>
        </w:numPr>
      </w:pPr>
      <w:r>
        <w:t>Figure 10: Include a simulated vs. observed O₃ comparison at the Le Port station to assess the impact of NOₓ and VOC predictions on surface O₃ levels.</w:t>
      </w:r>
    </w:p>
    <w:p w:rsidR="00C61976" w:rsidRDefault="00C61976" w:rsidP="00C61976">
      <w:pPr>
        <w:pStyle w:val="NormalWeb"/>
        <w:numPr>
          <w:ilvl w:val="0"/>
          <w:numId w:val="1"/>
        </w:numPr>
      </w:pPr>
      <w:r>
        <w:t xml:space="preserve">Lines 368–369 mention 18 air </w:t>
      </w:r>
      <w:proofErr w:type="gramStart"/>
      <w:r>
        <w:t>quality monitoring</w:t>
      </w:r>
      <w:proofErr w:type="gramEnd"/>
      <w:r>
        <w:t xml:space="preserve"> stations. The evaluation should incorporate all available sites with statistical metrics such as correlation coefficient, </w:t>
      </w:r>
      <w:r w:rsidR="00233AD1">
        <w:t>root m</w:t>
      </w:r>
      <w:r w:rsidR="00233AD1">
        <w:t xml:space="preserve">ean </w:t>
      </w:r>
      <w:r w:rsidR="00233AD1">
        <w:t>square e</w:t>
      </w:r>
      <w:r w:rsidR="00233AD1">
        <w:t>rror</w:t>
      </w:r>
      <w:r w:rsidR="00233AD1">
        <w:t xml:space="preserve"> (</w:t>
      </w:r>
      <w:r>
        <w:t>RMSE</w:t>
      </w:r>
      <w:r w:rsidR="00233AD1">
        <w:t>)</w:t>
      </w:r>
      <w:r>
        <w:t>, and</w:t>
      </w:r>
      <w:r w:rsidR="00233AD1">
        <w:t xml:space="preserve"> index of agreement</w:t>
      </w:r>
      <w:r>
        <w:t xml:space="preserve"> </w:t>
      </w:r>
      <w:r w:rsidR="00233AD1">
        <w:t>(</w:t>
      </w:r>
      <w:r>
        <w:t>IOA</w:t>
      </w:r>
      <w:r w:rsidR="00233AD1">
        <w:t>)</w:t>
      </w:r>
      <w:r>
        <w:t>.</w:t>
      </w:r>
    </w:p>
    <w:p w:rsidR="00C61976" w:rsidRDefault="00C61976" w:rsidP="00C61976">
      <w:pPr>
        <w:pStyle w:val="NormalWeb"/>
        <w:numPr>
          <w:ilvl w:val="0"/>
          <w:numId w:val="1"/>
        </w:numPr>
      </w:pPr>
      <w:r>
        <w:t xml:space="preserve">Lines 33–34: The statement attributing a </w:t>
      </w:r>
      <w:proofErr w:type="gramStart"/>
      <w:r>
        <w:t xml:space="preserve">6 </w:t>
      </w:r>
      <w:proofErr w:type="spellStart"/>
      <w:r>
        <w:t>ppbv</w:t>
      </w:r>
      <w:proofErr w:type="spellEnd"/>
      <w:proofErr w:type="gramEnd"/>
      <w:r>
        <w:t xml:space="preserve"> O₃ overestimation to the exclusion of halogen chemistry is overly simplistic. Ozone </w:t>
      </w:r>
      <w:proofErr w:type="spellStart"/>
      <w:r>
        <w:t>overprediction</w:t>
      </w:r>
      <w:proofErr w:type="spellEnd"/>
      <w:r>
        <w:t xml:space="preserve"> can stem from multiple factors, including uncertainties in emissions, vertical mixing, model resolution, and atmospheric chemistry.</w:t>
      </w:r>
    </w:p>
    <w:p w:rsidR="00C61976" w:rsidRDefault="00C61976" w:rsidP="00C61976">
      <w:pPr>
        <w:pStyle w:val="NormalWeb"/>
      </w:pPr>
      <w:r>
        <w:rPr>
          <w:rStyle w:val="Strong"/>
        </w:rPr>
        <w:lastRenderedPageBreak/>
        <w:t>Minor Comments: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23: Define “</w:t>
      </w:r>
      <w:proofErr w:type="spellStart"/>
      <w:r>
        <w:t>a.s.l</w:t>
      </w:r>
      <w:proofErr w:type="spellEnd"/>
      <w:r>
        <w:t>.”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 xml:space="preserve">Line 12: Add Piton de la </w:t>
      </w:r>
      <w:proofErr w:type="spellStart"/>
      <w:r>
        <w:t>Fournaise’s</w:t>
      </w:r>
      <w:proofErr w:type="spellEnd"/>
      <w:r>
        <w:t xml:space="preserve"> location to Figure 3.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176: Define MEGAN and include references.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190: Spell out MVK and MACR.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230: Clarify the meaning of “higher resolution data (0.75° x 0.75°).”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233: Spell out “BIGALK.”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241: Define “EDGAR.”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242: Define “HTAP.”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354: Avoid duplicate definitions (e.g., ISOPOOH on Line 196).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560: Define NOₓ (=NO+NO₂) upon first mention.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Lines 578–579: List stations categorized as “other stations.”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582: Correct “cyan” to “blue” (also check Line 588).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591: No green dots appear in Figure 2—did you mean red dots?</w:t>
      </w:r>
    </w:p>
    <w:p w:rsidR="00C61976" w:rsidRDefault="00233AD1" w:rsidP="00C61976">
      <w:pPr>
        <w:pStyle w:val="NormalWeb"/>
        <w:numPr>
          <w:ilvl w:val="0"/>
          <w:numId w:val="2"/>
        </w:numPr>
      </w:pPr>
      <w:r>
        <w:t>Lines 613–614: The statement</w:t>
      </w:r>
      <w:r w:rsidR="00C61976">
        <w:t xml:space="preserve"> that NOₓ model agreement issues stem from O₃ overestimatio</w:t>
      </w:r>
      <w:r>
        <w:t>n is confused, as NOₓ is one of major precursors of</w:t>
      </w:r>
      <w:r w:rsidR="00C61976">
        <w:t xml:space="preserve"> O₃ </w:t>
      </w:r>
      <w:r>
        <w:t>formation</w:t>
      </w:r>
      <w:r w:rsidR="00C61976">
        <w:t xml:space="preserve"> rather than </w:t>
      </w:r>
      <w:proofErr w:type="gramStart"/>
      <w:r w:rsidR="00C61976">
        <w:t>being driven</w:t>
      </w:r>
      <w:proofErr w:type="gramEnd"/>
      <w:r w:rsidR="00C61976">
        <w:t xml:space="preserve"> by O₃ levels.</w:t>
      </w:r>
    </w:p>
    <w:p w:rsidR="00C61976" w:rsidRDefault="00C61976" w:rsidP="00C61976">
      <w:pPr>
        <w:pStyle w:val="NormalWeb"/>
        <w:numPr>
          <w:ilvl w:val="0"/>
          <w:numId w:val="2"/>
        </w:numPr>
      </w:pPr>
      <w:r>
        <w:t>Line 629: Should reference be “Fig. 14”?</w:t>
      </w:r>
      <w:bookmarkStart w:id="0" w:name="_GoBack"/>
      <w:bookmarkEnd w:id="0"/>
    </w:p>
    <w:p w:rsidR="00BE1090" w:rsidRDefault="00BE1090"/>
    <w:sectPr w:rsidR="00BE1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575E"/>
    <w:multiLevelType w:val="multilevel"/>
    <w:tmpl w:val="D70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D36BB"/>
    <w:multiLevelType w:val="multilevel"/>
    <w:tmpl w:val="A9FC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6"/>
    <w:rsid w:val="00233AD1"/>
    <w:rsid w:val="0038055B"/>
    <w:rsid w:val="00BE1090"/>
    <w:rsid w:val="00C6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7A4D"/>
  <w15:chartTrackingRefBased/>
  <w15:docId w15:val="{B5A4650D-8EDF-4129-90DD-BBF305A1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3</cp:revision>
  <dcterms:created xsi:type="dcterms:W3CDTF">2025-02-01T20:34:00Z</dcterms:created>
  <dcterms:modified xsi:type="dcterms:W3CDTF">2025-02-04T16:30:00Z</dcterms:modified>
</cp:coreProperties>
</file>